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A9B3" w14:textId="7346486A" w:rsidR="00D278F8" w:rsidRPr="00D278F8" w:rsidRDefault="00595D3E" w:rsidP="00D278F8">
      <w:pPr>
        <w:pStyle w:val="Heading1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Koala Moon Pre-Schools Ltd (comprising of </w:t>
      </w:r>
      <w:r w:rsidR="00D278F8">
        <w:rPr>
          <w:rFonts w:ascii="Arial" w:hAnsi="Arial" w:cs="Arial"/>
          <w:b/>
          <w:szCs w:val="28"/>
        </w:rPr>
        <w:t>Five Wents Pre-school</w:t>
      </w:r>
      <w:r>
        <w:rPr>
          <w:rFonts w:ascii="Arial" w:hAnsi="Arial" w:cs="Arial"/>
          <w:b/>
          <w:szCs w:val="28"/>
        </w:rPr>
        <w:t xml:space="preserve"> and Halling Community Pre-School)</w:t>
      </w:r>
    </w:p>
    <w:p w14:paraId="1484E729" w14:textId="77777777" w:rsidR="00D278F8" w:rsidRDefault="00D278F8">
      <w:pPr>
        <w:pStyle w:val="Heading1"/>
        <w:rPr>
          <w:rFonts w:ascii="Arial" w:hAnsi="Arial" w:cs="Arial"/>
          <w:sz w:val="22"/>
          <w:szCs w:val="22"/>
        </w:rPr>
      </w:pPr>
    </w:p>
    <w:p w14:paraId="49A4CD09" w14:textId="77777777" w:rsidR="001B58E3" w:rsidRPr="00D278F8" w:rsidRDefault="001B58E3">
      <w:pPr>
        <w:pStyle w:val="Heading1"/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Whistle – Blowing Policy</w:t>
      </w:r>
    </w:p>
    <w:p w14:paraId="525AB48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7CCB715B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23C8AE9D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understand that whistle – blowing is an important aspect of safeguarding, where staff, volunteers and students are encouraged to share genuine concerns about a </w:t>
      </w:r>
      <w:proofErr w:type="gramStart"/>
      <w:r w:rsidRPr="00D278F8">
        <w:rPr>
          <w:rFonts w:ascii="Arial" w:hAnsi="Arial" w:cs="Arial"/>
          <w:sz w:val="22"/>
          <w:szCs w:val="22"/>
        </w:rPr>
        <w:t>colleagues</w:t>
      </w:r>
      <w:proofErr w:type="gramEnd"/>
      <w:r w:rsidRPr="00D278F8">
        <w:rPr>
          <w:rFonts w:ascii="Arial" w:hAnsi="Arial" w:cs="Arial"/>
          <w:sz w:val="22"/>
          <w:szCs w:val="22"/>
        </w:rPr>
        <w:t xml:space="preserve"> behaviour. We understand that this behaviour may not be child abuse, however the adult may not be following the code of conduct or could be pushing boundaries beyond normal limits. </w:t>
      </w:r>
    </w:p>
    <w:p w14:paraId="64DF8EE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6F7B2EC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recognise that if a member of staff, volunteer or student raises concerns about a wrong doing </w:t>
      </w:r>
      <w:r w:rsidR="00D278F8">
        <w:rPr>
          <w:rFonts w:ascii="Arial" w:hAnsi="Arial" w:cs="Arial"/>
          <w:sz w:val="22"/>
          <w:szCs w:val="22"/>
        </w:rPr>
        <w:t xml:space="preserve"> to us </w:t>
      </w:r>
      <w:r w:rsidRPr="00D278F8">
        <w:rPr>
          <w:rFonts w:ascii="Arial" w:hAnsi="Arial" w:cs="Arial"/>
          <w:sz w:val="22"/>
          <w:szCs w:val="22"/>
        </w:rPr>
        <w:t>or to another organisation they are protected under the Public Interest Disclosure Act 1998. The Act applies where a worker has a reasonable belief that their disclosure tends to show one or more of the following offences or breaches:</w:t>
      </w:r>
    </w:p>
    <w:p w14:paraId="63BD8A56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criminal offence,</w:t>
      </w:r>
    </w:p>
    <w:p w14:paraId="7970F88E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The breach of legal obligation,</w:t>
      </w:r>
    </w:p>
    <w:p w14:paraId="7DFC4E54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miscarriage of justice,</w:t>
      </w:r>
    </w:p>
    <w:p w14:paraId="5355D856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 danger to the environment, or</w:t>
      </w:r>
    </w:p>
    <w:p w14:paraId="1F5943C5" w14:textId="77777777" w:rsidR="001B58E3" w:rsidRPr="00D278F8" w:rsidRDefault="001B58E3">
      <w:pPr>
        <w:numPr>
          <w:ilvl w:val="0"/>
          <w:numId w:val="1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Deliberate covering up of information tending to show any of the above.</w:t>
      </w:r>
    </w:p>
    <w:p w14:paraId="3E899EF4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40A3CDEF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We </w:t>
      </w:r>
      <w:r w:rsidR="00D278F8">
        <w:rPr>
          <w:rFonts w:ascii="Arial" w:hAnsi="Arial" w:cs="Arial"/>
          <w:sz w:val="22"/>
          <w:szCs w:val="22"/>
        </w:rPr>
        <w:t xml:space="preserve">support </w:t>
      </w:r>
      <w:r w:rsidRPr="00D278F8">
        <w:rPr>
          <w:rFonts w:ascii="Arial" w:hAnsi="Arial" w:cs="Arial"/>
          <w:sz w:val="22"/>
          <w:szCs w:val="22"/>
        </w:rPr>
        <w:t>measures that protect whistle-blowers from any form of victimisation. We have a procedure to ensure concerns are dealt with effectively and efficiently and will do all that we can to preserve the confidentiality of the person/s who has raised a concern.</w:t>
      </w:r>
    </w:p>
    <w:p w14:paraId="672014C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</w:p>
    <w:p w14:paraId="54C8FC2A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If a member of staff, volunteer or student has a concern the procedure below should be followed:</w:t>
      </w:r>
    </w:p>
    <w:p w14:paraId="3D7EBF1C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Raise concern with the Manager (This is dependant upon the seriousness and sensitivity of the concern and who is suspected of the wrongdoing).</w:t>
      </w:r>
    </w:p>
    <w:p w14:paraId="42766592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Alternatively raise concerns </w:t>
      </w:r>
      <w:r w:rsidR="00D278F8">
        <w:rPr>
          <w:rFonts w:ascii="Arial" w:hAnsi="Arial" w:cs="Arial"/>
          <w:sz w:val="22"/>
          <w:szCs w:val="22"/>
        </w:rPr>
        <w:t>with the local authority</w:t>
      </w:r>
      <w:r w:rsidRPr="00D278F8">
        <w:rPr>
          <w:rFonts w:ascii="Arial" w:hAnsi="Arial" w:cs="Arial"/>
          <w:sz w:val="22"/>
          <w:szCs w:val="22"/>
        </w:rPr>
        <w:t xml:space="preserve">. </w:t>
      </w:r>
    </w:p>
    <w:p w14:paraId="5323680E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Concerns can be verbal or written.</w:t>
      </w:r>
    </w:p>
    <w:p w14:paraId="105BCF02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Write your concerns down clearly and include the background, history, names, dates and places and reason for the disclosure. When raising a concern the whistle - blower needs to demonstrate that they have an honest and reasonable suspicion that malpractice has occurred, is occurring or is likely to occur.</w:t>
      </w:r>
    </w:p>
    <w:p w14:paraId="2D21451D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</w:t>
      </w:r>
      <w:r w:rsidR="00D278F8">
        <w:rPr>
          <w:rFonts w:ascii="Arial" w:hAnsi="Arial" w:cs="Arial"/>
          <w:sz w:val="22"/>
          <w:szCs w:val="22"/>
        </w:rPr>
        <w:t>he Manager/local authority</w:t>
      </w:r>
      <w:r w:rsidRPr="00D278F8">
        <w:rPr>
          <w:rFonts w:ascii="Arial" w:hAnsi="Arial" w:cs="Arial"/>
          <w:sz w:val="22"/>
          <w:szCs w:val="22"/>
        </w:rPr>
        <w:t xml:space="preserve"> will respond to the concern, by carrying out an initial enquiring to decide if an investigation should take place.</w:t>
      </w:r>
    </w:p>
    <w:p w14:paraId="706524A7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If the concern falls within the offences/breaches as listed previously these will be referred for consideration under those procedures. </w:t>
      </w:r>
    </w:p>
    <w:p w14:paraId="733C0091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Concerns may be resolved by agreed actions without the need for investigation.</w:t>
      </w:r>
    </w:p>
    <w:p w14:paraId="5FEEBC13" w14:textId="77777777" w:rsidR="001B58E3" w:rsidRPr="00D278F8" w:rsidRDefault="001B58E3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If urgent action is required this will be taken before any investigation is carried out.</w:t>
      </w:r>
    </w:p>
    <w:p w14:paraId="64B2196A" w14:textId="77777777" w:rsidR="001B58E3" w:rsidRPr="00D278F8" w:rsidRDefault="00D278F8">
      <w:pPr>
        <w:numPr>
          <w:ilvl w:val="0"/>
          <w:numId w:val="2"/>
        </w:numPr>
        <w:tabs>
          <w:tab w:val="left" w:pos="3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B58E3" w:rsidRPr="00D278F8">
        <w:rPr>
          <w:rFonts w:ascii="Arial" w:hAnsi="Arial" w:cs="Arial"/>
          <w:sz w:val="22"/>
          <w:szCs w:val="22"/>
        </w:rPr>
        <w:t xml:space="preserve"> will explain to the whistle – blower how the concerns will be dealt with within 10 working days of the concern.</w:t>
      </w:r>
    </w:p>
    <w:p w14:paraId="1F85E2A8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</w:p>
    <w:p w14:paraId="6E55172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All concerns will be treated with confidence and every effort will be made not to reveal a staff members, volunteers or students identity. However while making all reasonable efforts to maintain the confidentiality of the concern, at a certain stage in the investigation it will be necessary to make the origins of the concern known to the person or persons the allegations is against. </w:t>
      </w:r>
    </w:p>
    <w:p w14:paraId="51652D7F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18F392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All concerns raised within the remit of the above procedure will be assessed to determine if the confidentiality extends to withholding the name of the complainant. There shall be a substantial reason for doing so, such as a real risk of personal harm.</w:t>
      </w:r>
    </w:p>
    <w:p w14:paraId="5E915D98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09C07FCA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The complainant should be aware however, that their identity may be revealed by inference.</w:t>
      </w:r>
    </w:p>
    <w:p w14:paraId="38F32D9E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6429D9F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We accept that deciding to report a concern can be very</w:t>
      </w:r>
      <w:r w:rsidR="00D278F8">
        <w:rPr>
          <w:rFonts w:ascii="Arial" w:hAnsi="Arial" w:cs="Arial"/>
          <w:sz w:val="22"/>
          <w:szCs w:val="22"/>
        </w:rPr>
        <w:t xml:space="preserve"> difficult and uncomfortable. I</w:t>
      </w:r>
      <w:r w:rsidRPr="00D278F8">
        <w:rPr>
          <w:rFonts w:ascii="Arial" w:hAnsi="Arial" w:cs="Arial"/>
          <w:sz w:val="22"/>
          <w:szCs w:val="22"/>
        </w:rPr>
        <w:t>f a member of staff, volunteer or student makes an allegation in good faith, but it is not confirmed by the investigation, no action will be taken against him/her. If, however, a member of staff, volunteer or student makes an allegation frivolously, maliciously or for personal gain, disciplinary actions may be taken against them.</w:t>
      </w:r>
    </w:p>
    <w:p w14:paraId="349AE0B2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4AAE6F4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  <w:u w:val="single"/>
        </w:rPr>
      </w:pPr>
      <w:r w:rsidRPr="00D278F8">
        <w:rPr>
          <w:rFonts w:ascii="Arial" w:hAnsi="Arial" w:cs="Arial"/>
          <w:sz w:val="22"/>
          <w:szCs w:val="22"/>
          <w:u w:val="single"/>
        </w:rPr>
        <w:t>Ofsted Whistle – Blowing Hotline:</w:t>
      </w:r>
    </w:p>
    <w:p w14:paraId="1B6AF3C3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Telephone: 0300 123 3155, </w:t>
      </w:r>
    </w:p>
    <w:p w14:paraId="7116408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Pr="00D278F8">
          <w:rPr>
            <w:rStyle w:val="Hyperlink"/>
            <w:rFonts w:ascii="Arial" w:hAnsi="Arial" w:cs="Arial"/>
            <w:sz w:val="22"/>
            <w:szCs w:val="22"/>
          </w:rPr>
          <w:t>whistleblowing@ofsted.gov.uk</w:t>
        </w:r>
      </w:hyperlink>
    </w:p>
    <w:p w14:paraId="7DB56555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  <w:r w:rsidRPr="00D278F8">
        <w:rPr>
          <w:rFonts w:ascii="Arial" w:hAnsi="Arial" w:cs="Arial"/>
          <w:sz w:val="22"/>
          <w:szCs w:val="22"/>
        </w:rPr>
        <w:t>Post: Ofsted, Piccadilly Gate, Store Street, Manchester, M1 2WD.</w:t>
      </w:r>
    </w:p>
    <w:p w14:paraId="32FD7161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p w14:paraId="3FF367B0" w14:textId="77777777" w:rsidR="001B58E3" w:rsidRPr="00D278F8" w:rsidRDefault="001B58E3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4"/>
        <w:gridCol w:w="2963"/>
        <w:gridCol w:w="2063"/>
      </w:tblGrid>
      <w:tr w:rsidR="00726280" w:rsidRPr="00B325DC" w14:paraId="4E4F8192" w14:textId="77777777" w:rsidTr="001B13FF">
        <w:tc>
          <w:tcPr>
            <w:tcW w:w="5352" w:type="dxa"/>
            <w:vAlign w:val="bottom"/>
          </w:tcPr>
          <w:p w14:paraId="77DD8F6B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This policy was adopted 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  <w:vAlign w:val="bottom"/>
          </w:tcPr>
          <w:p w14:paraId="09D3FCD4" w14:textId="10827864" w:rsidR="00726280" w:rsidRPr="00B325DC" w:rsidRDefault="00334491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Koala Moon Pre-Schools Ltd (comprising of Five Wents Pre-School and Halling Community Pre-School)</w:t>
            </w:r>
          </w:p>
        </w:tc>
        <w:tc>
          <w:tcPr>
            <w:tcW w:w="2304" w:type="dxa"/>
            <w:vAlign w:val="bottom"/>
          </w:tcPr>
          <w:p w14:paraId="2496F55C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(name of provider)</w:t>
            </w:r>
          </w:p>
        </w:tc>
      </w:tr>
      <w:tr w:rsidR="00726280" w:rsidRPr="00B325DC" w14:paraId="0F6ADA8E" w14:textId="77777777" w:rsidTr="001B13FF">
        <w:tc>
          <w:tcPr>
            <w:tcW w:w="5352" w:type="dxa"/>
            <w:vAlign w:val="bottom"/>
          </w:tcPr>
          <w:p w14:paraId="5B2A8BE3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3B1251FD" w14:textId="674EC2E3" w:rsidR="00776BC6" w:rsidRPr="0049232B" w:rsidRDefault="0076198A" w:rsidP="00776BC6">
            <w:pPr>
              <w:pStyle w:val="Heading1"/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5</w:t>
            </w:r>
            <w:r w:rsidRPr="0076198A">
              <w:rPr>
                <w:b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i/>
                <w:iCs/>
                <w:sz w:val="22"/>
                <w:szCs w:val="22"/>
              </w:rPr>
              <w:t xml:space="preserve"> November</w:t>
            </w:r>
            <w:r w:rsidR="00776BC6">
              <w:rPr>
                <w:b/>
                <w:i/>
                <w:iCs/>
                <w:sz w:val="22"/>
                <w:szCs w:val="22"/>
              </w:rPr>
              <w:t xml:space="preserve"> 202</w:t>
            </w:r>
            <w:r w:rsidR="00334491">
              <w:rPr>
                <w:b/>
                <w:i/>
                <w:iCs/>
                <w:sz w:val="22"/>
                <w:szCs w:val="22"/>
              </w:rPr>
              <w:t>5</w:t>
            </w:r>
            <w:r w:rsidR="00776BC6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0A45791B" w14:textId="195A5F9A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vAlign w:val="bottom"/>
          </w:tcPr>
          <w:p w14:paraId="2643BB08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726280" w:rsidRPr="00B325DC" w14:paraId="0900FE2C" w14:textId="77777777" w:rsidTr="001B13FF">
        <w:tc>
          <w:tcPr>
            <w:tcW w:w="5352" w:type="dxa"/>
            <w:vAlign w:val="bottom"/>
          </w:tcPr>
          <w:p w14:paraId="114F395A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2861C0EF" w14:textId="70AA93ED" w:rsidR="00776BC6" w:rsidRPr="0049232B" w:rsidRDefault="0076198A" w:rsidP="00776BC6">
            <w:pPr>
              <w:pStyle w:val="Heading1"/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5</w:t>
            </w:r>
            <w:r w:rsidRPr="0076198A">
              <w:rPr>
                <w:b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i/>
                <w:iCs/>
                <w:sz w:val="22"/>
                <w:szCs w:val="22"/>
              </w:rPr>
              <w:t xml:space="preserve"> November</w:t>
            </w:r>
            <w:r w:rsidR="00776BC6">
              <w:rPr>
                <w:b/>
                <w:i/>
                <w:iCs/>
                <w:sz w:val="22"/>
                <w:szCs w:val="22"/>
              </w:rPr>
              <w:t xml:space="preserve"> 202</w:t>
            </w:r>
            <w:r w:rsidR="00334491">
              <w:rPr>
                <w:b/>
                <w:i/>
                <w:iCs/>
                <w:sz w:val="22"/>
                <w:szCs w:val="22"/>
              </w:rPr>
              <w:t>6</w:t>
            </w:r>
          </w:p>
          <w:p w14:paraId="2757FB47" w14:textId="4D53F16D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vAlign w:val="bottom"/>
          </w:tcPr>
          <w:p w14:paraId="754F9481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  <w:i/>
              </w:rPr>
            </w:pPr>
            <w:r w:rsidRPr="00B325DC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726280" w:rsidRPr="00B325DC" w14:paraId="33C68824" w14:textId="77777777" w:rsidTr="001B13FF">
        <w:tc>
          <w:tcPr>
            <w:tcW w:w="5352" w:type="dxa"/>
            <w:vAlign w:val="bottom"/>
          </w:tcPr>
          <w:p w14:paraId="06238148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  <w:vAlign w:val="bottom"/>
          </w:tcPr>
          <w:p w14:paraId="1B23497A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6280" w:rsidRPr="00B325DC" w14:paraId="6907D374" w14:textId="77777777" w:rsidTr="001B1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971B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54EED254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Sasha Tadman</w:t>
            </w:r>
          </w:p>
        </w:tc>
      </w:tr>
      <w:tr w:rsidR="00726280" w:rsidRPr="00B325DC" w14:paraId="1AC8EB4F" w14:textId="77777777" w:rsidTr="001B1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FB67" w14:textId="77777777" w:rsidR="00726280" w:rsidRPr="00B325DC" w:rsidRDefault="00726280" w:rsidP="001B13FF">
            <w:pPr>
              <w:spacing w:line="360" w:lineRule="auto"/>
              <w:rPr>
                <w:rFonts w:ascii="Arial" w:hAnsi="Arial" w:cs="Arial"/>
              </w:rPr>
            </w:pPr>
            <w:r w:rsidRPr="00B325DC">
              <w:rPr>
                <w:rFonts w:ascii="Arial" w:hAnsi="Arial" w:cs="Arial"/>
                <w:sz w:val="22"/>
                <w:szCs w:val="22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20849EB3" w14:textId="2183EFE5" w:rsidR="00726280" w:rsidRPr="00B325DC" w:rsidRDefault="00334491" w:rsidP="001B13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</w:p>
        </w:tc>
      </w:tr>
    </w:tbl>
    <w:p w14:paraId="28F7E49B" w14:textId="77777777" w:rsidR="001B58E3" w:rsidRPr="00D278F8" w:rsidRDefault="001B58E3" w:rsidP="00D278F8">
      <w:pPr>
        <w:tabs>
          <w:tab w:val="left" w:pos="3300"/>
        </w:tabs>
        <w:rPr>
          <w:rFonts w:ascii="Arial" w:hAnsi="Arial" w:cs="Arial"/>
          <w:sz w:val="22"/>
          <w:szCs w:val="22"/>
        </w:rPr>
      </w:pPr>
    </w:p>
    <w:sectPr w:rsidR="001B58E3" w:rsidRPr="00D278F8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7E6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B13DC"/>
    <w:multiLevelType w:val="hybridMultilevel"/>
    <w:tmpl w:val="2542A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56245"/>
    <w:multiLevelType w:val="hybridMultilevel"/>
    <w:tmpl w:val="9426F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40612">
    <w:abstractNumId w:val="1"/>
  </w:num>
  <w:num w:numId="2" w16cid:durableId="1189368843">
    <w:abstractNumId w:val="2"/>
  </w:num>
  <w:num w:numId="3" w16cid:durableId="7929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A5"/>
    <w:rsid w:val="001058C4"/>
    <w:rsid w:val="001B13FF"/>
    <w:rsid w:val="001B58E3"/>
    <w:rsid w:val="00334491"/>
    <w:rsid w:val="003F7EB3"/>
    <w:rsid w:val="0053153A"/>
    <w:rsid w:val="00595D3E"/>
    <w:rsid w:val="00726280"/>
    <w:rsid w:val="0076198A"/>
    <w:rsid w:val="00776BC6"/>
    <w:rsid w:val="00796655"/>
    <w:rsid w:val="007E4F6F"/>
    <w:rsid w:val="00862029"/>
    <w:rsid w:val="008F0637"/>
    <w:rsid w:val="009218AD"/>
    <w:rsid w:val="009B59A5"/>
    <w:rsid w:val="00D278F8"/>
    <w:rsid w:val="00D56724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C9EE1"/>
  <w15:chartTrackingRefBased/>
  <w15:docId w15:val="{8B596A61-ED7C-4959-A200-FF46A18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stleblowing@ofste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Whistle – Blowing Policy</vt:lpstr>
    </vt:vector>
  </TitlesOfParts>
  <Company>Hewlett-Packard</Company>
  <LinksUpToDate>false</LinksUpToDate>
  <CharactersWithSpaces>4185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mailto:whistleblowing@ofsted.gov.uk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 – Blowing Policy</dc:title>
  <dc:subject/>
  <dc:creator>Busstop</dc:creator>
  <cp:keywords/>
  <cp:lastModifiedBy>Sasha Tadman</cp:lastModifiedBy>
  <cp:revision>3</cp:revision>
  <dcterms:created xsi:type="dcterms:W3CDTF">2025-11-04T18:09:00Z</dcterms:created>
  <dcterms:modified xsi:type="dcterms:W3CDTF">2025-11-05T18:12:00Z</dcterms:modified>
</cp:coreProperties>
</file>